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" w:hAnsi="仿宋" w:eastAsia="仿宋" w:cs="Verdana"/>
          <w:color w:val="333333"/>
          <w:sz w:val="36"/>
          <w:szCs w:val="36"/>
        </w:rPr>
      </w:pP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附件1</w:t>
      </w:r>
      <w:bookmarkStart w:id="0" w:name="_GoBack"/>
      <w:bookmarkEnd w:id="0"/>
    </w:p>
    <w:p>
      <w:pPr>
        <w:pStyle w:val="3"/>
        <w:widowControl/>
        <w:spacing w:beforeAutospacing="0" w:afterAutospacing="0" w:line="560" w:lineRule="exact"/>
        <w:jc w:val="center"/>
        <w:rPr>
          <w:rFonts w:hint="eastAsia" w:ascii="仿宋" w:hAnsi="仿宋" w:eastAsia="仿宋" w:cs="Verdana"/>
          <w:color w:val="333333"/>
          <w:sz w:val="36"/>
          <w:szCs w:val="36"/>
        </w:rPr>
      </w:pPr>
      <w:r>
        <w:rPr>
          <w:rStyle w:val="6"/>
          <w:rFonts w:hint="eastAsia" w:ascii="仿宋" w:hAnsi="仿宋" w:eastAsia="仿宋" w:cs="宋体"/>
          <w:color w:val="333333"/>
          <w:sz w:val="36"/>
          <w:szCs w:val="36"/>
        </w:rPr>
        <w:t>学校固定资产自查流程和注意事项</w:t>
      </w:r>
    </w:p>
    <w:p>
      <w:pPr>
        <w:pStyle w:val="3"/>
        <w:widowControl/>
        <w:spacing w:beforeAutospacing="0" w:afterAutospacing="0" w:line="560" w:lineRule="exact"/>
        <w:ind w:firstLine="555"/>
        <w:rPr>
          <w:rFonts w:hint="eastAsia" w:ascii="仿宋" w:hAnsi="仿宋" w:eastAsia="仿宋" w:cs="仿宋"/>
          <w:color w:val="333333"/>
          <w:sz w:val="28"/>
          <w:szCs w:val="28"/>
        </w:rPr>
      </w:pPr>
      <w:r>
        <w:rPr>
          <w:rFonts w:eastAsia="仿宋" w:cs="Calibri"/>
          <w:color w:val="333333"/>
          <w:sz w:val="28"/>
          <w:szCs w:val="28"/>
        </w:rPr>
        <w:t> </w:t>
      </w:r>
      <w:r>
        <w:rPr>
          <w:rFonts w:hint="eastAsia" w:ascii="仿宋" w:hAnsi="仿宋" w:eastAsia="仿宋" w:cs="仿宋"/>
          <w:color w:val="333333"/>
          <w:sz w:val="28"/>
          <w:szCs w:val="28"/>
        </w:rPr>
        <w:t>为进一步规范和加强我校资产管理，摸清家底，在全校范围内开展资产清查工作。现所有人员须登录我校固定资产管理系统进行固定资产自查，请各位教职工能够予以积极配合，具体流程和注意事项如下。</w:t>
      </w:r>
    </w:p>
    <w:p>
      <w:pPr>
        <w:spacing w:line="360" w:lineRule="auto"/>
        <w:ind w:firstLine="560" w:firstLineChars="200"/>
        <w:rPr>
          <w:rFonts w:hint="eastAsia" w:ascii="仿宋" w:hAnsi="仿宋" w:eastAsia="仿宋" w:cs="仿宋"/>
          <w:color w:val="333333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>资产盘点通过如下网址登录，使用</w:t>
      </w:r>
      <w:r>
        <w:rPr>
          <w:rFonts w:hint="eastAsia" w:ascii="仿宋" w:hAnsi="仿宋" w:eastAsia="仿宋" w:cs="仿宋"/>
          <w:color w:val="FF0000"/>
          <w:kern w:val="0"/>
          <w:sz w:val="28"/>
          <w:szCs w:val="28"/>
        </w:rPr>
        <w:t>资产云的账号</w:t>
      </w: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>进行盘点（登录账号同资产云的是一样的，初始密码是H</w:t>
      </w:r>
      <w:r>
        <w:rPr>
          <w:rFonts w:ascii="仿宋" w:hAnsi="仿宋" w:eastAsia="仿宋" w:cs="仿宋"/>
          <w:color w:val="333333"/>
          <w:kern w:val="0"/>
          <w:sz w:val="28"/>
          <w:szCs w:val="28"/>
        </w:rPr>
        <w:t>d@123456</w:t>
      </w: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>，更改过密码的按实际情况登录即可）。部门管理员和归口管理员除了完成个人资产的盘点之外，部门还需盘点无使用人但有使用部门的资产，归口还需盘点无使用人和使用部门的资产。</w:t>
      </w:r>
    </w:p>
    <w:p>
      <w:pPr>
        <w:spacing w:line="360" w:lineRule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>登录地址：https://assetcloud.zj.gov.cn/#/auth</w:t>
      </w:r>
    </w:p>
    <w:p>
      <w:r>
        <w:drawing>
          <wp:inline distT="0" distB="0" distL="114300" distR="114300">
            <wp:extent cx="5263515" cy="2609850"/>
            <wp:effectExtent l="0" t="0" r="1333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一、具体流程</w:t>
      </w:r>
    </w:p>
    <w:p>
      <w:pPr>
        <w:rPr>
          <w:rFonts w:hint="eastAsia"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1</w:t>
      </w:r>
      <w:r>
        <w:rPr>
          <w:rFonts w:ascii="仿宋" w:hAnsi="仿宋" w:eastAsia="仿宋"/>
          <w:b/>
          <w:bCs/>
          <w:sz w:val="28"/>
          <w:szCs w:val="28"/>
        </w:rPr>
        <w:t xml:space="preserve">. </w:t>
      </w:r>
      <w:r>
        <w:rPr>
          <w:rFonts w:hint="eastAsia" w:ascii="仿宋" w:hAnsi="仿宋" w:eastAsia="仿宋"/>
          <w:b/>
          <w:bCs/>
          <w:sz w:val="28"/>
          <w:szCs w:val="28"/>
        </w:rPr>
        <w:t>盘点入口</w:t>
      </w:r>
    </w:p>
    <w:p>
      <w:pPr>
        <w:ind w:firstLine="420" w:firstLineChars="0"/>
        <w:rPr>
          <w:rFonts w:hint="eastAsia" w:ascii="仿宋" w:hAnsi="仿宋" w:eastAsia="仿宋" w:cs="仿宋"/>
          <w:color w:val="333333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>登录后点击页面左侧的“</w:t>
      </w:r>
      <w:r>
        <w:rPr>
          <w:rFonts w:hint="eastAsia" w:ascii="仿宋" w:hAnsi="仿宋" w:eastAsia="仿宋" w:cs="仿宋"/>
          <w:color w:val="FF0000"/>
          <w:kern w:val="0"/>
          <w:sz w:val="28"/>
          <w:szCs w:val="28"/>
          <w:lang w:val="en-US" w:eastAsia="zh-CN"/>
        </w:rPr>
        <w:t>门户</w:t>
      </w: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>”，</w:t>
      </w:r>
      <w:r>
        <w:rPr>
          <w:rFonts w:hint="eastAsia" w:ascii="仿宋" w:hAnsi="仿宋" w:eastAsia="仿宋" w:cs="仿宋"/>
          <w:color w:val="333333"/>
          <w:kern w:val="0"/>
          <w:sz w:val="28"/>
          <w:szCs w:val="28"/>
          <w:lang w:val="en-US" w:eastAsia="zh-CN"/>
        </w:rPr>
        <w:t>把角色切换到</w:t>
      </w:r>
      <w:r>
        <w:rPr>
          <w:rFonts w:hint="default" w:ascii="仿宋" w:hAnsi="仿宋" w:eastAsia="仿宋" w:cs="仿宋"/>
          <w:color w:val="333333"/>
          <w:kern w:val="0"/>
          <w:sz w:val="28"/>
          <w:szCs w:val="28"/>
          <w:lang w:val="en-US" w:eastAsia="zh-CN"/>
        </w:rPr>
        <w:t>‘</w:t>
      </w:r>
      <w:r>
        <w:rPr>
          <w:rFonts w:hint="eastAsia" w:ascii="仿宋" w:hAnsi="仿宋" w:eastAsia="仿宋" w:cs="仿宋"/>
          <w:color w:val="FF0000"/>
          <w:kern w:val="0"/>
          <w:sz w:val="28"/>
          <w:szCs w:val="28"/>
          <w:lang w:val="en-US" w:eastAsia="zh-CN"/>
        </w:rPr>
        <w:t>杭州电子科技大学</w:t>
      </w:r>
      <w:r>
        <w:rPr>
          <w:rFonts w:hint="default" w:ascii="仿宋" w:hAnsi="仿宋" w:eastAsia="仿宋" w:cs="仿宋"/>
          <w:color w:val="333333"/>
          <w:kern w:val="0"/>
          <w:sz w:val="28"/>
          <w:szCs w:val="28"/>
          <w:lang w:val="en-US" w:eastAsia="zh-CN"/>
        </w:rPr>
        <w:t>’</w:t>
      </w:r>
      <w:r>
        <w:rPr>
          <w:rFonts w:hint="eastAsia" w:ascii="仿宋" w:hAnsi="仿宋" w:eastAsia="仿宋" w:cs="仿宋"/>
          <w:color w:val="333333"/>
          <w:kern w:val="0"/>
          <w:sz w:val="28"/>
          <w:szCs w:val="28"/>
          <w:lang w:val="en-US" w:eastAsia="zh-CN"/>
        </w:rPr>
        <w:t>--‘</w:t>
      </w:r>
      <w:r>
        <w:rPr>
          <w:rFonts w:hint="eastAsia" w:ascii="仿宋" w:hAnsi="仿宋" w:eastAsia="仿宋" w:cs="仿宋"/>
          <w:color w:val="FF0000"/>
          <w:kern w:val="0"/>
          <w:sz w:val="28"/>
          <w:szCs w:val="28"/>
          <w:lang w:val="en-US" w:eastAsia="zh-CN"/>
        </w:rPr>
        <w:t>工作台</w:t>
      </w:r>
      <w:r>
        <w:rPr>
          <w:rFonts w:hint="eastAsia" w:ascii="仿宋" w:hAnsi="仿宋" w:eastAsia="仿宋" w:cs="仿宋"/>
          <w:color w:val="333333"/>
          <w:kern w:val="0"/>
          <w:sz w:val="28"/>
          <w:szCs w:val="28"/>
          <w:lang w:val="en-US" w:eastAsia="zh-CN"/>
        </w:rPr>
        <w:t>’</w:t>
      </w: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>，在这个页面可以看到盘点任务</w:t>
      </w:r>
      <w:r>
        <w:rPr>
          <w:rFonts w:hint="eastAsia" w:ascii="仿宋" w:hAnsi="仿宋" w:eastAsia="仿宋" w:cs="仿宋"/>
          <w:color w:val="333333"/>
          <w:kern w:val="0"/>
          <w:sz w:val="28"/>
          <w:szCs w:val="28"/>
          <w:lang w:eastAsia="zh-CN"/>
        </w:rPr>
        <w:t>‘</w:t>
      </w:r>
      <w:r>
        <w:rPr>
          <w:rFonts w:hint="eastAsia" w:ascii="仿宋" w:hAnsi="仿宋" w:eastAsia="仿宋" w:cs="仿宋"/>
          <w:color w:val="FF0000"/>
          <w:kern w:val="0"/>
          <w:sz w:val="28"/>
          <w:szCs w:val="28"/>
          <w:lang w:val="en-US" w:eastAsia="zh-CN"/>
        </w:rPr>
        <w:t>清查盘点（个人）</w:t>
      </w:r>
      <w:r>
        <w:rPr>
          <w:rFonts w:hint="eastAsia" w:ascii="仿宋" w:hAnsi="仿宋" w:eastAsia="仿宋" w:cs="仿宋"/>
          <w:color w:val="333333"/>
          <w:kern w:val="0"/>
          <w:sz w:val="28"/>
          <w:szCs w:val="28"/>
          <w:lang w:eastAsia="zh-CN"/>
        </w:rPr>
        <w:t>’</w:t>
      </w: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>。如图</w:t>
      </w:r>
    </w:p>
    <w:p>
      <w:r>
        <w:drawing>
          <wp:inline distT="0" distB="0" distL="114300" distR="114300">
            <wp:extent cx="5266690" cy="2372995"/>
            <wp:effectExtent l="0" t="0" r="10160" b="825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72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仿宋" w:hAnsi="仿宋" w:eastAsia="仿宋" w:cs="仿宋"/>
          <w:b/>
          <w:bCs/>
          <w:color w:val="333333"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333333"/>
          <w:kern w:val="0"/>
          <w:sz w:val="28"/>
          <w:szCs w:val="28"/>
        </w:rPr>
        <w:t>（</w:t>
      </w:r>
      <w:r>
        <w:rPr>
          <w:rFonts w:ascii="仿宋" w:hAnsi="仿宋" w:eastAsia="仿宋" w:cs="仿宋"/>
          <w:b/>
          <w:bCs/>
          <w:color w:val="333333"/>
          <w:kern w:val="0"/>
          <w:sz w:val="28"/>
          <w:szCs w:val="28"/>
        </w:rPr>
        <w:t>1</w:t>
      </w:r>
      <w:r>
        <w:rPr>
          <w:rFonts w:hint="eastAsia" w:ascii="仿宋" w:hAnsi="仿宋" w:eastAsia="仿宋" w:cs="仿宋"/>
          <w:b/>
          <w:bCs/>
          <w:color w:val="333333"/>
          <w:kern w:val="0"/>
          <w:sz w:val="28"/>
          <w:szCs w:val="28"/>
        </w:rPr>
        <w:t>）个人资产盘点</w:t>
      </w:r>
    </w:p>
    <w:p>
      <w:pPr>
        <w:spacing w:line="360" w:lineRule="auto"/>
        <w:ind w:firstLine="560" w:firstLineChars="200"/>
        <w:rPr>
          <w:rFonts w:hint="eastAsia" w:ascii="仿宋" w:hAnsi="仿宋" w:eastAsia="仿宋" w:cs="仿宋"/>
          <w:color w:val="333333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>点击“</w:t>
      </w:r>
      <w:r>
        <w:rPr>
          <w:rFonts w:hint="eastAsia" w:ascii="仿宋" w:hAnsi="仿宋" w:eastAsia="仿宋" w:cs="仿宋"/>
          <w:color w:val="FF0000"/>
          <w:kern w:val="0"/>
          <w:sz w:val="28"/>
          <w:szCs w:val="28"/>
          <w:lang w:val="en-US" w:eastAsia="zh-CN"/>
        </w:rPr>
        <w:t>清查盘点（个人）</w:t>
      </w: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>”</w:t>
      </w:r>
      <w:r>
        <w:rPr>
          <w:rFonts w:hint="eastAsia" w:ascii="仿宋" w:hAnsi="仿宋" w:eastAsia="仿宋" w:cs="仿宋"/>
          <w:color w:val="333333"/>
          <w:kern w:val="0"/>
          <w:sz w:val="28"/>
          <w:szCs w:val="28"/>
          <w:lang w:val="en-US" w:eastAsia="zh-CN"/>
        </w:rPr>
        <w:t>办事</w:t>
      </w: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>，进入</w:t>
      </w:r>
      <w:r>
        <w:rPr>
          <w:rFonts w:hint="eastAsia" w:ascii="仿宋" w:hAnsi="仿宋" w:eastAsia="仿宋" w:cs="仿宋"/>
          <w:color w:val="333333"/>
          <w:kern w:val="0"/>
          <w:sz w:val="28"/>
          <w:szCs w:val="28"/>
          <w:lang w:val="en-US" w:eastAsia="zh-CN"/>
        </w:rPr>
        <w:t>办事</w:t>
      </w: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>后通过“</w:t>
      </w:r>
      <w:r>
        <w:rPr>
          <w:rFonts w:hint="eastAsia" w:ascii="仿宋" w:hAnsi="仿宋" w:eastAsia="仿宋" w:cs="仿宋"/>
          <w:b/>
          <w:color w:val="FF0000"/>
          <w:kern w:val="0"/>
          <w:sz w:val="28"/>
          <w:szCs w:val="28"/>
        </w:rPr>
        <w:t>选择</w:t>
      </w: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>”按钮可以选择名下的资产（新系统内的个人资产均在此表单中），如图1</w:t>
      </w:r>
      <w:r>
        <w:rPr>
          <w:rFonts w:ascii="仿宋" w:hAnsi="仿宋" w:eastAsia="仿宋" w:cs="仿宋"/>
          <w:color w:val="333333"/>
          <w:kern w:val="0"/>
          <w:sz w:val="28"/>
          <w:szCs w:val="28"/>
        </w:rPr>
        <w:t>.2</w:t>
      </w: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>所示。如果本人名下的资产未出现在表单中，请联系部门资产管理员由部门资产管理员进行代盘点未挂名的资产。</w:t>
      </w:r>
    </w:p>
    <w:p>
      <w:pPr>
        <w:keepNext/>
        <w:spacing w:line="360" w:lineRule="auto"/>
        <w:jc w:val="center"/>
      </w:pPr>
      <w:r>
        <w:drawing>
          <wp:inline distT="0" distB="0" distL="114300" distR="114300">
            <wp:extent cx="5266055" cy="2540635"/>
            <wp:effectExtent l="0" t="0" r="10795" b="1206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540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jc w:val="center"/>
        <w:rPr>
          <w:rFonts w:hint="eastAsia" w:ascii="仿宋" w:hAnsi="仿宋" w:eastAsia="仿宋" w:cs="仿宋"/>
          <w:color w:val="333333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>图1.2 盘点任务选择示意图（1）</w:t>
      </w:r>
    </w:p>
    <w:p>
      <w:pPr>
        <w:keepNext/>
        <w:spacing w:line="360" w:lineRule="auto"/>
        <w:jc w:val="center"/>
      </w:pPr>
      <w:r>
        <w:drawing>
          <wp:inline distT="0" distB="0" distL="114300" distR="114300">
            <wp:extent cx="5260975" cy="2792095"/>
            <wp:effectExtent l="0" t="0" r="15875" b="825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2792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jc w:val="center"/>
        <w:rPr>
          <w:rFonts w:hint="eastAsia" w:ascii="仿宋" w:hAnsi="仿宋" w:eastAsia="仿宋" w:cs="仿宋"/>
          <w:color w:val="333333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>图1.2 盘点任务选择示意图（2）</w:t>
      </w:r>
    </w:p>
    <w:p>
      <w:pPr>
        <w:keepNext/>
        <w:spacing w:line="360" w:lineRule="auto"/>
        <w:jc w:val="center"/>
        <w:rPr>
          <w:rFonts w:hint="eastAsia" w:ascii="仿宋" w:hAnsi="仿宋" w:eastAsia="仿宋" w:cs="仿宋"/>
          <w:color w:val="333333"/>
          <w:kern w:val="0"/>
          <w:sz w:val="28"/>
          <w:szCs w:val="28"/>
        </w:rPr>
      </w:pPr>
      <w:r>
        <w:drawing>
          <wp:inline distT="0" distB="0" distL="114300" distR="114300">
            <wp:extent cx="5259070" cy="2162810"/>
            <wp:effectExtent l="0" t="0" r="17780" b="889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2162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jc w:val="center"/>
        <w:rPr>
          <w:rFonts w:hint="eastAsia" w:ascii="仿宋" w:hAnsi="仿宋" w:eastAsia="仿宋" w:cs="仿宋"/>
          <w:color w:val="333333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>图1</w:t>
      </w:r>
      <w:r>
        <w:rPr>
          <w:rFonts w:ascii="仿宋" w:hAnsi="仿宋" w:eastAsia="仿宋" w:cs="仿宋"/>
          <w:color w:val="333333"/>
          <w:kern w:val="0"/>
          <w:sz w:val="28"/>
          <w:szCs w:val="28"/>
        </w:rPr>
        <w:t xml:space="preserve">.2 </w:t>
      </w: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>盘点任务选择资产示意图（3）</w:t>
      </w:r>
    </w:p>
    <w:p>
      <w:pPr>
        <w:spacing w:line="360" w:lineRule="auto"/>
        <w:rPr>
          <w:rFonts w:hint="eastAsia" w:ascii="仿宋" w:hAnsi="仿宋" w:eastAsia="仿宋" w:cs="仿宋"/>
          <w:color w:val="333333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>单条资产盘点操作示意：</w:t>
      </w:r>
    </w:p>
    <w:p>
      <w:pPr>
        <w:spacing w:line="360" w:lineRule="auto"/>
        <w:ind w:firstLine="560" w:firstLineChars="200"/>
        <w:rPr>
          <w:rFonts w:hint="eastAsia" w:ascii="仿宋" w:hAnsi="仿宋" w:eastAsia="仿宋" w:cs="仿宋"/>
          <w:color w:val="333333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>选中单条资产，点击</w:t>
      </w:r>
      <w:r>
        <w:rPr>
          <w:rFonts w:hint="eastAsia" w:ascii="仿宋" w:hAnsi="仿宋" w:eastAsia="仿宋" w:cs="仿宋"/>
          <w:color w:val="FF0000"/>
          <w:kern w:val="0"/>
          <w:sz w:val="28"/>
          <w:szCs w:val="28"/>
        </w:rPr>
        <w:t>更多</w:t>
      </w:r>
      <w:r>
        <w:rPr>
          <w:rFonts w:ascii="仿宋" w:hAnsi="仿宋" w:eastAsia="仿宋" w:cs="仿宋"/>
          <w:color w:val="FF0000"/>
          <w:kern w:val="0"/>
          <w:sz w:val="28"/>
          <w:szCs w:val="28"/>
        </w:rPr>
        <w:t>—</w:t>
      </w:r>
      <w:r>
        <w:rPr>
          <w:rFonts w:hint="eastAsia" w:ascii="仿宋" w:hAnsi="仿宋" w:eastAsia="仿宋" w:cs="仿宋"/>
          <w:color w:val="FF0000"/>
          <w:kern w:val="0"/>
          <w:sz w:val="28"/>
          <w:szCs w:val="28"/>
        </w:rPr>
        <w:t>更新</w:t>
      </w:r>
      <w:r>
        <w:rPr>
          <w:rFonts w:hint="eastAsia" w:ascii="仿宋" w:hAnsi="仿宋" w:eastAsia="仿宋" w:cs="仿宋"/>
          <w:kern w:val="0"/>
          <w:sz w:val="28"/>
          <w:szCs w:val="28"/>
        </w:rPr>
        <w:t>。</w:t>
      </w:r>
    </w:p>
    <w:p>
      <w:pPr>
        <w:keepNext/>
        <w:spacing w:line="360" w:lineRule="auto"/>
        <w:jc w:val="center"/>
        <w:rPr>
          <w:rFonts w:hint="eastAsia" w:ascii="仿宋" w:hAnsi="仿宋" w:eastAsia="仿宋" w:cs="仿宋"/>
          <w:color w:val="333333"/>
          <w:kern w:val="0"/>
          <w:sz w:val="28"/>
          <w:szCs w:val="28"/>
        </w:rPr>
      </w:pPr>
      <w:r>
        <w:drawing>
          <wp:inline distT="0" distB="0" distL="114300" distR="114300">
            <wp:extent cx="5266690" cy="1704340"/>
            <wp:effectExtent l="0" t="0" r="10160" b="1016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704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jc w:val="center"/>
        <w:rPr>
          <w:rFonts w:hint="eastAsia" w:ascii="仿宋" w:hAnsi="仿宋" w:eastAsia="仿宋" w:cs="仿宋"/>
          <w:color w:val="333333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>图1</w:t>
      </w:r>
      <w:r>
        <w:rPr>
          <w:rFonts w:ascii="仿宋" w:hAnsi="仿宋" w:eastAsia="仿宋" w:cs="仿宋"/>
          <w:color w:val="333333"/>
          <w:kern w:val="0"/>
          <w:sz w:val="28"/>
          <w:szCs w:val="28"/>
        </w:rPr>
        <w:t xml:space="preserve">.3 </w:t>
      </w: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>单条资产开始盘点示意图</w:t>
      </w:r>
    </w:p>
    <w:p>
      <w:pPr>
        <w:spacing w:line="360" w:lineRule="auto"/>
        <w:rPr>
          <w:rFonts w:hint="eastAsia" w:ascii="仿宋" w:hAnsi="仿宋" w:eastAsia="仿宋" w:cs="仿宋"/>
          <w:color w:val="333333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>点击“</w:t>
      </w:r>
      <w:r>
        <w:rPr>
          <w:rFonts w:hint="eastAsia" w:ascii="仿宋" w:hAnsi="仿宋" w:eastAsia="仿宋" w:cs="仿宋"/>
          <w:color w:val="FF0000"/>
          <w:kern w:val="0"/>
          <w:sz w:val="28"/>
          <w:szCs w:val="28"/>
        </w:rPr>
        <w:t>更新</w:t>
      </w: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>”后会出现如图1</w:t>
      </w:r>
      <w:r>
        <w:rPr>
          <w:rFonts w:ascii="仿宋" w:hAnsi="仿宋" w:eastAsia="仿宋" w:cs="仿宋"/>
          <w:color w:val="333333"/>
          <w:kern w:val="0"/>
          <w:sz w:val="28"/>
          <w:szCs w:val="28"/>
        </w:rPr>
        <w:t>.4</w:t>
      </w: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>所示页面：</w:t>
      </w:r>
    </w:p>
    <w:p>
      <w:r>
        <w:drawing>
          <wp:inline distT="0" distB="0" distL="114300" distR="114300">
            <wp:extent cx="5274310" cy="1863725"/>
            <wp:effectExtent l="0" t="0" r="2540" b="317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63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jc w:val="center"/>
        <w:rPr>
          <w:rFonts w:hint="eastAsia" w:ascii="仿宋" w:hAnsi="仿宋" w:eastAsia="仿宋" w:cs="仿宋"/>
          <w:color w:val="333333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>图1</w:t>
      </w:r>
      <w:r>
        <w:rPr>
          <w:rFonts w:ascii="仿宋" w:hAnsi="仿宋" w:eastAsia="仿宋" w:cs="仿宋"/>
          <w:color w:val="333333"/>
          <w:kern w:val="0"/>
          <w:sz w:val="28"/>
          <w:szCs w:val="28"/>
        </w:rPr>
        <w:t xml:space="preserve">.4 </w:t>
      </w: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>更新示意图</w:t>
      </w:r>
    </w:p>
    <w:p>
      <w:pPr>
        <w:rPr>
          <w:rFonts w:hint="eastAsia"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盘点字段说明如下：</w:t>
      </w:r>
    </w:p>
    <w:p>
      <w:pPr>
        <w:spacing w:line="360" w:lineRule="auto"/>
        <w:rPr>
          <w:rFonts w:hint="eastAsia" w:ascii="仿宋" w:hAnsi="仿宋" w:eastAsia="仿宋" w:cs="仿宋"/>
          <w:b/>
          <w:color w:val="FF0000"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color w:val="FF0000"/>
          <w:kern w:val="0"/>
          <w:sz w:val="28"/>
          <w:szCs w:val="28"/>
        </w:rPr>
        <w:t>盘点结果三种情况说明：</w:t>
      </w:r>
    </w:p>
    <w:p>
      <w:pPr>
        <w:pStyle w:val="8"/>
        <w:numPr>
          <w:ilvl w:val="0"/>
          <w:numId w:val="1"/>
        </w:numPr>
        <w:spacing w:line="360" w:lineRule="auto"/>
        <w:ind w:firstLineChars="0"/>
        <w:rPr>
          <w:rFonts w:hint="eastAsia" w:ascii="仿宋" w:hAnsi="仿宋" w:eastAsia="仿宋" w:cs="仿宋"/>
          <w:color w:val="333333"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333333"/>
          <w:kern w:val="0"/>
          <w:sz w:val="28"/>
          <w:szCs w:val="28"/>
        </w:rPr>
        <w:t>账实相符</w:t>
      </w: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>：盘点任务中您能选择的资产和您名下实际资产情况是一致的。</w:t>
      </w:r>
    </w:p>
    <w:p>
      <w:pPr>
        <w:pStyle w:val="8"/>
        <w:numPr>
          <w:ilvl w:val="0"/>
          <w:numId w:val="1"/>
        </w:numPr>
        <w:spacing w:line="360" w:lineRule="auto"/>
        <w:ind w:firstLineChars="0"/>
        <w:rPr>
          <w:rFonts w:hint="eastAsia" w:ascii="仿宋" w:hAnsi="仿宋" w:eastAsia="仿宋" w:cs="仿宋"/>
          <w:color w:val="333333"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333333"/>
          <w:kern w:val="0"/>
          <w:sz w:val="28"/>
          <w:szCs w:val="28"/>
        </w:rPr>
        <w:t>有账无物</w:t>
      </w: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>：盘点任务中有该条资产，但是您并没有找到该资产。</w:t>
      </w:r>
    </w:p>
    <w:p>
      <w:pPr>
        <w:pStyle w:val="8"/>
        <w:numPr>
          <w:ilvl w:val="0"/>
          <w:numId w:val="1"/>
        </w:numPr>
        <w:spacing w:line="360" w:lineRule="auto"/>
        <w:ind w:firstLineChars="0"/>
        <w:rPr>
          <w:rFonts w:hint="eastAsia" w:ascii="仿宋" w:hAnsi="仿宋" w:eastAsia="仿宋" w:cs="仿宋"/>
          <w:color w:val="333333"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333333"/>
          <w:kern w:val="0"/>
          <w:sz w:val="28"/>
          <w:szCs w:val="28"/>
        </w:rPr>
        <w:t>有物无账</w:t>
      </w: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>：盘点任务中没有该条资产，但是您实际拥有某资产。（可将该资产信息报给部门资产管理员，找到该资产实际使用人，如无法找到，可由部门资产管理员统一报给国资处）</w:t>
      </w:r>
    </w:p>
    <w:p>
      <w:pPr>
        <w:spacing w:line="360" w:lineRule="auto"/>
        <w:rPr>
          <w:rFonts w:hint="eastAsia" w:ascii="仿宋" w:hAnsi="仿宋" w:eastAsia="仿宋" w:cs="仿宋"/>
          <w:b/>
          <w:color w:val="FF0000"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color w:val="FF0000"/>
          <w:kern w:val="0"/>
          <w:sz w:val="28"/>
          <w:szCs w:val="28"/>
        </w:rPr>
        <w:t>备注栏填写说明：</w:t>
      </w:r>
    </w:p>
    <w:p>
      <w:pPr>
        <w:spacing w:line="360" w:lineRule="auto"/>
        <w:ind w:firstLine="560" w:firstLineChars="200"/>
        <w:rPr>
          <w:rFonts w:hint="eastAsia" w:ascii="仿宋" w:hAnsi="仿宋" w:eastAsia="仿宋" w:cs="仿宋"/>
          <w:color w:val="333333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>出现有账无物、有物无账的具体原因，资产信息与实际不符的情况（如使用人、使用部门、存放地点等信息不一致）均填写在备注一栏。</w:t>
      </w:r>
    </w:p>
    <w:p/>
    <w:p>
      <w:pPr>
        <w:spacing w:line="360" w:lineRule="auto"/>
        <w:rPr>
          <w:rFonts w:hint="eastAsia" w:ascii="仿宋" w:hAnsi="仿宋" w:eastAsia="仿宋" w:cs="仿宋"/>
          <w:color w:val="333333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>多条资产批量盘点操作示意：</w:t>
      </w:r>
    </w:p>
    <w:p>
      <w:pPr>
        <w:spacing w:line="360" w:lineRule="auto"/>
        <w:ind w:firstLine="560" w:firstLineChars="200"/>
        <w:rPr>
          <w:rFonts w:hint="eastAsia" w:ascii="仿宋" w:hAnsi="仿宋" w:eastAsia="仿宋" w:cs="仿宋"/>
          <w:color w:val="333333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>可以批量盘点资产或者直接全选，这里以全选为例，全选之后点击“</w:t>
      </w:r>
      <w:r>
        <w:rPr>
          <w:rFonts w:hint="eastAsia" w:ascii="仿宋" w:hAnsi="仿宋" w:eastAsia="仿宋" w:cs="仿宋"/>
          <w:color w:val="FF0000"/>
          <w:kern w:val="0"/>
          <w:sz w:val="28"/>
          <w:szCs w:val="28"/>
        </w:rPr>
        <w:t>变更</w:t>
      </w: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>”，如图1</w:t>
      </w:r>
      <w:r>
        <w:rPr>
          <w:rFonts w:ascii="仿宋" w:hAnsi="仿宋" w:eastAsia="仿宋" w:cs="仿宋"/>
          <w:color w:val="333333"/>
          <w:kern w:val="0"/>
          <w:sz w:val="28"/>
          <w:szCs w:val="28"/>
        </w:rPr>
        <w:t>.5</w:t>
      </w: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>所示。</w:t>
      </w:r>
    </w:p>
    <w:p>
      <w:r>
        <w:drawing>
          <wp:inline distT="0" distB="0" distL="114300" distR="114300">
            <wp:extent cx="5261610" cy="1741805"/>
            <wp:effectExtent l="0" t="0" r="15240" b="1079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1741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jc w:val="center"/>
        <w:rPr>
          <w:rFonts w:hint="eastAsia" w:ascii="仿宋" w:hAnsi="仿宋" w:eastAsia="仿宋" w:cs="仿宋"/>
          <w:color w:val="333333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>图</w:t>
      </w:r>
      <w:r>
        <w:rPr>
          <w:rFonts w:ascii="仿宋" w:hAnsi="仿宋" w:eastAsia="仿宋" w:cs="仿宋"/>
          <w:color w:val="333333"/>
          <w:kern w:val="0"/>
          <w:sz w:val="28"/>
          <w:szCs w:val="28"/>
        </w:rPr>
        <w:t>1.5 资产</w:t>
      </w: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>批量</w:t>
      </w:r>
      <w:r>
        <w:rPr>
          <w:rFonts w:ascii="仿宋" w:hAnsi="仿宋" w:eastAsia="仿宋" w:cs="仿宋"/>
          <w:color w:val="333333"/>
          <w:kern w:val="0"/>
          <w:sz w:val="28"/>
          <w:szCs w:val="28"/>
        </w:rPr>
        <w:t>开始盘点示意图</w:t>
      </w:r>
    </w:p>
    <w:p/>
    <w:p>
      <w:r>
        <w:drawing>
          <wp:inline distT="0" distB="0" distL="114300" distR="114300">
            <wp:extent cx="5274310" cy="1891030"/>
            <wp:effectExtent l="0" t="0" r="2540" b="1397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91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jc w:val="center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图1</w:t>
      </w:r>
      <w:r>
        <w:rPr>
          <w:rFonts w:ascii="仿宋" w:hAnsi="仿宋" w:eastAsia="仿宋"/>
          <w:sz w:val="28"/>
          <w:szCs w:val="28"/>
        </w:rPr>
        <w:t xml:space="preserve">.6 </w:t>
      </w:r>
      <w:r>
        <w:rPr>
          <w:rFonts w:hint="eastAsia" w:ascii="仿宋" w:hAnsi="仿宋" w:eastAsia="仿宋"/>
          <w:sz w:val="28"/>
          <w:szCs w:val="28"/>
        </w:rPr>
        <w:t>全选</w:t>
      </w:r>
      <w:r>
        <w:rPr>
          <w:rFonts w:ascii="仿宋" w:hAnsi="仿宋" w:eastAsia="仿宋"/>
          <w:sz w:val="28"/>
          <w:szCs w:val="28"/>
        </w:rPr>
        <w:t>--</w:t>
      </w:r>
      <w:r>
        <w:rPr>
          <w:rFonts w:hint="eastAsia" w:ascii="仿宋" w:hAnsi="仿宋" w:eastAsia="仿宋"/>
          <w:sz w:val="28"/>
          <w:szCs w:val="28"/>
        </w:rPr>
        <w:t>变更界面示意图</w:t>
      </w:r>
    </w:p>
    <w:p>
      <w:pPr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点击提交之后，会在您的</w:t>
      </w:r>
      <w:r>
        <w:rPr>
          <w:rFonts w:hint="eastAsia" w:ascii="仿宋" w:hAnsi="仿宋" w:eastAsia="仿宋"/>
          <w:b/>
          <w:bCs/>
          <w:sz w:val="28"/>
          <w:szCs w:val="28"/>
        </w:rPr>
        <w:t>办事-</w:t>
      </w:r>
      <w:r>
        <w:rPr>
          <w:rFonts w:ascii="仿宋" w:hAnsi="仿宋" w:eastAsia="仿宋"/>
          <w:b/>
          <w:bCs/>
          <w:sz w:val="28"/>
          <w:szCs w:val="28"/>
        </w:rPr>
        <w:t>-</w:t>
      </w:r>
      <w:r>
        <w:rPr>
          <w:rFonts w:hint="eastAsia" w:ascii="仿宋" w:hAnsi="仿宋" w:eastAsia="仿宋"/>
          <w:b/>
          <w:bCs/>
          <w:sz w:val="28"/>
          <w:szCs w:val="28"/>
        </w:rPr>
        <w:t>待办</w:t>
      </w:r>
      <w:r>
        <w:rPr>
          <w:rFonts w:hint="eastAsia" w:ascii="仿宋" w:hAnsi="仿宋" w:eastAsia="仿宋"/>
          <w:sz w:val="28"/>
          <w:szCs w:val="28"/>
        </w:rPr>
        <w:t>里出现审批，信息确认无误之后点击“</w:t>
      </w:r>
      <w:r>
        <w:rPr>
          <w:rFonts w:hint="eastAsia" w:ascii="仿宋" w:hAnsi="仿宋" w:eastAsia="仿宋"/>
          <w:b/>
          <w:bCs/>
          <w:sz w:val="28"/>
          <w:szCs w:val="28"/>
        </w:rPr>
        <w:t>通过</w:t>
      </w:r>
      <w:r>
        <w:rPr>
          <w:rFonts w:hint="eastAsia" w:ascii="仿宋" w:hAnsi="仿宋" w:eastAsia="仿宋"/>
          <w:sz w:val="28"/>
          <w:szCs w:val="28"/>
        </w:rPr>
        <w:t>”即可</w:t>
      </w:r>
    </w:p>
    <w:p>
      <w:r>
        <w:drawing>
          <wp:inline distT="0" distB="0" distL="114300" distR="114300">
            <wp:extent cx="5266055" cy="2725420"/>
            <wp:effectExtent l="0" t="0" r="10795" b="17780"/>
            <wp:docPr id="1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725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rPr>
          <w:rFonts w:hint="eastAsia"/>
        </w:rPr>
      </w:pPr>
    </w:p>
    <w:p>
      <w:pPr>
        <w:rPr>
          <w:rFonts w:hint="eastAsia" w:ascii="仿宋" w:hAnsi="仿宋" w:eastAsia="仿宋" w:cs="仿宋"/>
          <w:b/>
          <w:bCs/>
          <w:color w:val="333333"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333333"/>
          <w:kern w:val="0"/>
          <w:sz w:val="28"/>
          <w:szCs w:val="28"/>
        </w:rPr>
        <w:t>（2）部门管理员/归口管理员盘点</w:t>
      </w:r>
    </w:p>
    <w:p>
      <w:pPr>
        <w:pStyle w:val="8"/>
        <w:spacing w:line="360" w:lineRule="auto"/>
        <w:ind w:left="360" w:firstLine="562"/>
        <w:rPr>
          <w:rFonts w:hint="eastAsia" w:ascii="仿宋" w:hAnsi="仿宋" w:eastAsia="仿宋" w:cs="仿宋"/>
          <w:color w:val="333333"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333333"/>
          <w:kern w:val="0"/>
          <w:sz w:val="28"/>
          <w:szCs w:val="28"/>
        </w:rPr>
        <w:t>部门</w:t>
      </w:r>
      <w:r>
        <w:rPr>
          <w:rFonts w:hint="eastAsia" w:ascii="仿宋" w:hAnsi="仿宋" w:eastAsia="仿宋" w:cs="仿宋"/>
          <w:b/>
          <w:bCs/>
          <w:color w:val="333333"/>
          <w:kern w:val="0"/>
          <w:sz w:val="28"/>
          <w:szCs w:val="28"/>
          <w:lang w:val="en-US" w:eastAsia="zh-CN"/>
        </w:rPr>
        <w:t>/归口</w:t>
      </w:r>
      <w:r>
        <w:rPr>
          <w:rFonts w:hint="eastAsia" w:ascii="仿宋" w:hAnsi="仿宋" w:eastAsia="仿宋" w:cs="仿宋"/>
          <w:b/>
          <w:bCs/>
          <w:color w:val="333333"/>
          <w:kern w:val="0"/>
          <w:sz w:val="28"/>
          <w:szCs w:val="28"/>
        </w:rPr>
        <w:t>管理员</w:t>
      </w: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>除了完成本身的个人盘点任务之外，可对本部门</w:t>
      </w:r>
      <w:r>
        <w:rPr>
          <w:rFonts w:hint="eastAsia" w:ascii="仿宋" w:hAnsi="仿宋" w:eastAsia="仿宋" w:cs="仿宋"/>
          <w:color w:val="333333"/>
          <w:kern w:val="0"/>
          <w:sz w:val="28"/>
          <w:szCs w:val="28"/>
          <w:lang w:val="en-US" w:eastAsia="zh-CN"/>
        </w:rPr>
        <w:t>/归口</w:t>
      </w: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>所有资产进行盘点，注意，</w:t>
      </w:r>
      <w:r>
        <w:rPr>
          <w:rFonts w:hint="eastAsia" w:ascii="仿宋" w:hAnsi="仿宋" w:eastAsia="仿宋" w:cs="仿宋"/>
          <w:color w:val="FF0000"/>
          <w:kern w:val="0"/>
          <w:sz w:val="28"/>
          <w:szCs w:val="28"/>
        </w:rPr>
        <w:t>无使用人但有使用部门</w:t>
      </w: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>的资产也需要部门管理员进行盘点</w:t>
      </w:r>
      <w:r>
        <w:rPr>
          <w:rFonts w:hint="eastAsia" w:ascii="仿宋" w:hAnsi="仿宋" w:eastAsia="仿宋" w:cs="仿宋"/>
          <w:color w:val="333333"/>
          <w:kern w:val="0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>对于</w:t>
      </w:r>
      <w:r>
        <w:rPr>
          <w:rFonts w:hint="eastAsia" w:ascii="仿宋" w:hAnsi="仿宋" w:eastAsia="仿宋" w:cs="仿宋"/>
          <w:color w:val="FF0000"/>
          <w:kern w:val="0"/>
          <w:sz w:val="28"/>
          <w:szCs w:val="28"/>
        </w:rPr>
        <w:t>无使用人也无使用部门</w:t>
      </w: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>的归口资产也需要</w:t>
      </w:r>
      <w:r>
        <w:rPr>
          <w:rFonts w:hint="eastAsia" w:ascii="仿宋" w:hAnsi="仿宋" w:eastAsia="仿宋" w:cs="仿宋"/>
          <w:b/>
          <w:bCs/>
          <w:color w:val="333333"/>
          <w:kern w:val="0"/>
          <w:sz w:val="28"/>
          <w:szCs w:val="28"/>
          <w:lang w:val="en-US" w:eastAsia="zh-CN"/>
        </w:rPr>
        <w:t>归口</w:t>
      </w:r>
      <w:r>
        <w:rPr>
          <w:rFonts w:hint="eastAsia" w:ascii="仿宋" w:hAnsi="仿宋" w:eastAsia="仿宋" w:cs="仿宋"/>
          <w:b/>
          <w:bCs/>
          <w:color w:val="333333"/>
          <w:kern w:val="0"/>
          <w:sz w:val="28"/>
          <w:szCs w:val="28"/>
        </w:rPr>
        <w:t>管理员</w:t>
      </w: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>进行盘点。如下图所示：</w:t>
      </w:r>
    </w:p>
    <w:p>
      <w:pPr>
        <w:spacing w:line="360" w:lineRule="auto"/>
      </w:pPr>
      <w:r>
        <w:drawing>
          <wp:inline distT="0" distB="0" distL="114300" distR="114300">
            <wp:extent cx="5263515" cy="2609850"/>
            <wp:effectExtent l="0" t="0" r="13335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420" w:firstLineChars="0"/>
        <w:rPr>
          <w:rFonts w:hint="default" w:ascii="仿宋" w:hAnsi="仿宋" w:eastAsia="仿宋" w:cs="仿宋"/>
          <w:color w:val="333333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color w:val="333333"/>
          <w:kern w:val="0"/>
          <w:sz w:val="28"/>
          <w:szCs w:val="28"/>
          <w:lang w:val="en-US" w:eastAsia="zh-CN" w:bidi="ar-SA"/>
        </w:rPr>
        <w:t>具体未盘点资产可以根据对应盘点明细表单进行查看，并导出卡片编号等信息</w:t>
      </w:r>
    </w:p>
    <w:p>
      <w:pPr>
        <w:spacing w:line="360" w:lineRule="auto"/>
        <w:rPr>
          <w:rFonts w:hint="eastAsia"/>
        </w:rPr>
      </w:pPr>
      <w:r>
        <w:drawing>
          <wp:inline distT="0" distB="0" distL="114300" distR="114300">
            <wp:extent cx="5263515" cy="2609850"/>
            <wp:effectExtent l="0" t="0" r="13335" b="0"/>
            <wp:docPr id="20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8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8"/>
        <w:numPr>
          <w:ilvl w:val="0"/>
          <w:numId w:val="2"/>
        </w:numPr>
        <w:spacing w:line="360" w:lineRule="auto"/>
        <w:ind w:firstLineChars="0"/>
        <w:rPr>
          <w:rFonts w:hint="eastAsia" w:ascii="仿宋" w:hAnsi="仿宋" w:eastAsia="仿宋" w:cs="仿宋"/>
          <w:color w:val="333333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>通过</w:t>
      </w:r>
      <w:r>
        <w:rPr>
          <w:rFonts w:hint="eastAsia" w:ascii="仿宋" w:hAnsi="仿宋" w:eastAsia="仿宋" w:cs="仿宋"/>
          <w:color w:val="333333"/>
          <w:kern w:val="0"/>
          <w:sz w:val="28"/>
          <w:szCs w:val="28"/>
          <w:lang w:val="en-US" w:eastAsia="zh-CN"/>
        </w:rPr>
        <w:t>具体的负责的模块，选择对应办事</w:t>
      </w: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>。入口：门户</w:t>
      </w:r>
      <w:r>
        <w:rPr>
          <w:rFonts w:ascii="仿宋" w:hAnsi="仿宋" w:eastAsia="仿宋" w:cs="仿宋"/>
          <w:color w:val="333333"/>
          <w:kern w:val="0"/>
          <w:sz w:val="28"/>
          <w:szCs w:val="28"/>
        </w:rPr>
        <w:t>—</w:t>
      </w: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>杭州电子科技大学</w:t>
      </w:r>
      <w:r>
        <w:rPr>
          <w:rFonts w:ascii="仿宋" w:hAnsi="仿宋" w:eastAsia="仿宋" w:cs="仿宋"/>
          <w:color w:val="333333"/>
          <w:kern w:val="0"/>
          <w:sz w:val="28"/>
          <w:szCs w:val="28"/>
        </w:rPr>
        <w:t>—</w:t>
      </w: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>盘点应用</w:t>
      </w:r>
      <w:r>
        <w:rPr>
          <w:rFonts w:ascii="仿宋" w:hAnsi="仿宋" w:eastAsia="仿宋" w:cs="仿宋"/>
          <w:color w:val="333333"/>
          <w:kern w:val="0"/>
          <w:sz w:val="28"/>
          <w:szCs w:val="28"/>
        </w:rPr>
        <w:t>—</w:t>
      </w: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>办事</w:t>
      </w:r>
      <w:r>
        <w:rPr>
          <w:rFonts w:ascii="仿宋" w:hAnsi="仿宋" w:eastAsia="仿宋" w:cs="仿宋"/>
          <w:color w:val="333333"/>
          <w:kern w:val="0"/>
          <w:sz w:val="28"/>
          <w:szCs w:val="28"/>
        </w:rPr>
        <w:t>—</w:t>
      </w: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>清查盘点，具体操作如下所示：</w:t>
      </w:r>
    </w:p>
    <w:p>
      <w:pPr>
        <w:pStyle w:val="8"/>
        <w:spacing w:line="360" w:lineRule="auto"/>
        <w:ind w:firstLine="0" w:firstLineChars="0"/>
        <w:rPr>
          <w:rFonts w:hint="eastAsia"/>
        </w:rPr>
      </w:pPr>
      <w:r>
        <w:drawing>
          <wp:inline distT="0" distB="0" distL="114300" distR="114300">
            <wp:extent cx="5263515" cy="2609850"/>
            <wp:effectExtent l="0" t="0" r="13335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8"/>
        <w:spacing w:line="360" w:lineRule="auto"/>
        <w:ind w:firstLine="0" w:firstLineChars="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这里需要注意要使用</w:t>
      </w:r>
      <w:r>
        <w:rPr>
          <w:rFonts w:hint="eastAsia" w:ascii="仿宋" w:hAnsi="仿宋" w:eastAsia="仿宋"/>
          <w:sz w:val="28"/>
          <w:szCs w:val="28"/>
          <w:highlight w:val="yellow"/>
        </w:rPr>
        <w:t>导入匹配</w:t>
      </w:r>
    </w:p>
    <w:p>
      <w:pPr>
        <w:pStyle w:val="8"/>
        <w:spacing w:line="360" w:lineRule="auto"/>
        <w:ind w:firstLine="0" w:firstLineChars="0"/>
        <w:jc w:val="center"/>
        <w:rPr>
          <w:rFonts w:hint="eastAsia"/>
        </w:rPr>
      </w:pPr>
      <w:r>
        <w:drawing>
          <wp:inline distT="0" distB="0" distL="114300" distR="114300">
            <wp:extent cx="5267325" cy="2574290"/>
            <wp:effectExtent l="0" t="0" r="9525" b="1651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574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8"/>
        <w:spacing w:line="360" w:lineRule="auto"/>
        <w:ind w:firstLine="0" w:firstLineChars="0"/>
        <w:jc w:val="center"/>
        <w:rPr>
          <w:rFonts w:hint="eastAsia"/>
          <w:bdr w:val="single" w:color="auto" w:sz="4" w:space="0"/>
        </w:rPr>
      </w:pPr>
    </w:p>
    <w:p>
      <w:pPr>
        <w:pStyle w:val="8"/>
        <w:spacing w:line="360" w:lineRule="auto"/>
        <w:ind w:firstLine="0" w:firstLineChars="0"/>
        <w:jc w:val="center"/>
        <w:rPr>
          <w:rFonts w:hint="eastAsia"/>
          <w:bdr w:val="single" w:color="auto" w:sz="4" w:space="0"/>
        </w:rPr>
      </w:pPr>
      <w:r>
        <w:drawing>
          <wp:inline distT="0" distB="0" distL="114300" distR="114300">
            <wp:extent cx="5270500" cy="2282190"/>
            <wp:effectExtent l="0" t="0" r="6350" b="3810"/>
            <wp:docPr id="17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282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hint="eastAsia" w:ascii="仿宋" w:hAnsi="仿宋" w:eastAsia="仿宋" w:cs="仿宋"/>
          <w:color w:val="333333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>标题单元格必须是“卡片编号”格式如下图所示</w:t>
      </w:r>
    </w:p>
    <w:p>
      <w:pPr>
        <w:pStyle w:val="8"/>
        <w:spacing w:line="360" w:lineRule="auto"/>
        <w:ind w:firstLine="0" w:firstLineChars="0"/>
        <w:jc w:val="center"/>
        <w:rPr>
          <w:rFonts w:hint="eastAsia"/>
          <w:bdr w:val="single" w:color="auto" w:sz="4" w:space="0"/>
        </w:rPr>
      </w:pPr>
      <w:r>
        <w:drawing>
          <wp:inline distT="0" distB="0" distL="0" distR="0">
            <wp:extent cx="5266055" cy="1615440"/>
            <wp:effectExtent l="0" t="0" r="10795" b="381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1615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8"/>
        <w:spacing w:line="360" w:lineRule="auto"/>
        <w:ind w:firstLine="0" w:firstLineChars="0"/>
        <w:rPr>
          <w:rFonts w:hint="eastAsia" w:ascii="仿宋" w:hAnsi="仿宋" w:eastAsia="仿宋" w:cs="仿宋"/>
          <w:color w:val="333333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>接下来进行正常的盘点操作即可（同个人盘点的更新、变更操作）。</w:t>
      </w:r>
    </w:p>
    <w:p>
      <w:pPr>
        <w:rPr>
          <w:rFonts w:hint="eastAsia" w:ascii="仿宋" w:hAnsi="仿宋" w:eastAsia="仿宋" w:cs="仿宋"/>
          <w:b/>
          <w:bCs/>
          <w:color w:val="333333"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333333"/>
          <w:kern w:val="0"/>
          <w:sz w:val="28"/>
          <w:szCs w:val="28"/>
        </w:rPr>
        <w:t>二、注意事项</w:t>
      </w:r>
    </w:p>
    <w:p>
      <w:pPr>
        <w:pStyle w:val="3"/>
        <w:widowControl/>
        <w:spacing w:beforeAutospacing="0" w:afterAutospacing="0" w:line="360" w:lineRule="auto"/>
        <w:ind w:firstLine="645"/>
        <w:rPr>
          <w:rFonts w:hint="eastAsia" w:ascii="仿宋" w:hAnsi="仿宋" w:eastAsia="仿宋" w:cs="仿宋"/>
          <w:color w:val="333333"/>
          <w:sz w:val="28"/>
          <w:szCs w:val="28"/>
        </w:rPr>
      </w:pPr>
      <w:r>
        <w:rPr>
          <w:rFonts w:ascii="仿宋" w:hAnsi="仿宋" w:eastAsia="仿宋" w:cs="仿宋"/>
          <w:color w:val="333333"/>
          <w:sz w:val="28"/>
          <w:szCs w:val="28"/>
        </w:rPr>
        <w:t>1</w:t>
      </w:r>
      <w:r>
        <w:rPr>
          <w:rFonts w:hint="eastAsia" w:ascii="仿宋" w:hAnsi="仿宋" w:eastAsia="仿宋" w:cs="仿宋"/>
          <w:color w:val="333333"/>
          <w:sz w:val="28"/>
          <w:szCs w:val="28"/>
        </w:rPr>
        <w:t>．部门</w:t>
      </w:r>
      <w:r>
        <w:rPr>
          <w:rFonts w:hint="eastAsia" w:ascii="仿宋" w:hAnsi="仿宋" w:eastAsia="仿宋" w:cs="仿宋"/>
          <w:color w:val="333333"/>
          <w:sz w:val="28"/>
          <w:szCs w:val="28"/>
          <w:lang w:val="en-US" w:eastAsia="zh-CN"/>
        </w:rPr>
        <w:t xml:space="preserve">/归口 </w:t>
      </w:r>
      <w:r>
        <w:rPr>
          <w:rFonts w:hint="eastAsia" w:ascii="仿宋" w:hAnsi="仿宋" w:eastAsia="仿宋" w:cs="仿宋"/>
          <w:color w:val="333333"/>
          <w:sz w:val="28"/>
          <w:szCs w:val="28"/>
        </w:rPr>
        <w:t>管理员主要在盘点明细表</w:t>
      </w:r>
      <w:r>
        <w:rPr>
          <w:rFonts w:hint="eastAsia" w:ascii="仿宋" w:hAnsi="仿宋" w:eastAsia="仿宋" w:cs="仿宋"/>
          <w:color w:val="333333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333333"/>
          <w:sz w:val="28"/>
          <w:szCs w:val="28"/>
        </w:rPr>
        <w:t>中可以查看</w:t>
      </w:r>
      <w:r>
        <w:rPr>
          <w:rFonts w:hint="eastAsia" w:ascii="仿宋" w:hAnsi="仿宋" w:eastAsia="仿宋" w:cs="仿宋"/>
          <w:color w:val="333333"/>
          <w:sz w:val="28"/>
          <w:szCs w:val="28"/>
          <w:lang w:val="en-US" w:eastAsia="zh-CN"/>
        </w:rPr>
        <w:t>未</w:t>
      </w:r>
      <w:r>
        <w:rPr>
          <w:rFonts w:hint="eastAsia" w:ascii="仿宋" w:hAnsi="仿宋" w:eastAsia="仿宋" w:cs="仿宋"/>
          <w:color w:val="333333"/>
          <w:sz w:val="28"/>
          <w:szCs w:val="28"/>
        </w:rPr>
        <w:t>盘点的资产信息。入口如下图所示：</w:t>
      </w:r>
    </w:p>
    <w:p>
      <w:pPr>
        <w:pStyle w:val="3"/>
        <w:widowControl/>
        <w:spacing w:beforeAutospacing="0" w:afterAutospacing="0" w:line="360" w:lineRule="auto"/>
        <w:rPr>
          <w:rFonts w:hint="eastAsia" w:ascii="仿宋" w:hAnsi="仿宋" w:eastAsia="仿宋" w:cs="仿宋"/>
          <w:color w:val="333333"/>
          <w:sz w:val="28"/>
          <w:szCs w:val="28"/>
        </w:rPr>
      </w:pPr>
      <w:r>
        <w:drawing>
          <wp:inline distT="0" distB="0" distL="114300" distR="114300">
            <wp:extent cx="5263515" cy="2609850"/>
            <wp:effectExtent l="0" t="0" r="13335" b="0"/>
            <wp:docPr id="19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widowControl/>
        <w:spacing w:beforeAutospacing="0" w:afterAutospacing="0" w:line="360" w:lineRule="auto"/>
        <w:ind w:firstLine="645"/>
        <w:rPr>
          <w:rFonts w:hint="eastAsia" w:ascii="仿宋" w:hAnsi="仿宋" w:eastAsia="仿宋" w:cs="仿宋"/>
          <w:color w:val="FF0000"/>
          <w:sz w:val="28"/>
          <w:szCs w:val="28"/>
        </w:rPr>
      </w:pPr>
      <w:r>
        <w:rPr>
          <w:rFonts w:hint="eastAsia" w:ascii="仿宋" w:hAnsi="仿宋" w:eastAsia="仿宋" w:cs="仿宋"/>
          <w:color w:val="FF0000"/>
          <w:sz w:val="28"/>
          <w:szCs w:val="28"/>
        </w:rPr>
        <w:t>2．资产存放地点、使用人信息不符，但仍保存在本部门的场地或人员名下，算做“账实相符”。</w:t>
      </w:r>
    </w:p>
    <w:p>
      <w:pPr>
        <w:pStyle w:val="3"/>
        <w:widowControl/>
        <w:spacing w:beforeAutospacing="0" w:afterAutospacing="0" w:line="360" w:lineRule="auto"/>
        <w:ind w:firstLine="645"/>
        <w:rPr>
          <w:rFonts w:hint="eastAsia" w:ascii="仿宋" w:hAnsi="仿宋" w:eastAsia="仿宋" w:cs="仿宋"/>
          <w:color w:val="333333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sz w:val="28"/>
          <w:szCs w:val="28"/>
        </w:rPr>
        <w:t>3．如资产信息中的“使用单位”为“XXX报废库”之类，则表示该资产已由归口管理部门回收，无需修改，可按</w:t>
      </w:r>
      <w:r>
        <w:rPr>
          <w:rFonts w:hint="eastAsia" w:ascii="仿宋" w:hAnsi="仿宋" w:eastAsia="仿宋" w:cs="仿宋"/>
          <w:color w:val="FF0000"/>
          <w:sz w:val="28"/>
          <w:szCs w:val="28"/>
        </w:rPr>
        <w:t>账实相符</w:t>
      </w:r>
      <w:r>
        <w:rPr>
          <w:rFonts w:hint="eastAsia" w:ascii="仿宋" w:hAnsi="仿宋" w:eastAsia="仿宋" w:cs="仿宋"/>
          <w:color w:val="333333"/>
          <w:sz w:val="28"/>
          <w:szCs w:val="28"/>
        </w:rPr>
        <w:t>资产进行提交。</w:t>
      </w:r>
    </w:p>
    <w:p>
      <w:pPr>
        <w:pStyle w:val="3"/>
        <w:widowControl/>
        <w:spacing w:beforeAutospacing="0" w:afterAutospacing="0" w:line="360" w:lineRule="auto"/>
        <w:ind w:firstLine="645"/>
        <w:rPr>
          <w:rFonts w:hint="eastAsia" w:ascii="仿宋" w:hAnsi="仿宋" w:eastAsia="仿宋" w:cs="仿宋"/>
          <w:color w:val="333333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sz w:val="28"/>
          <w:szCs w:val="28"/>
        </w:rPr>
        <w:t>4. 本次资产清查所盘点资产以</w:t>
      </w:r>
      <w:r>
        <w:rPr>
          <w:rFonts w:hint="eastAsia" w:ascii="仿宋" w:hAnsi="仿宋" w:eastAsia="仿宋" w:cs="仿宋"/>
          <w:color w:val="FF0000"/>
          <w:sz w:val="28"/>
          <w:szCs w:val="28"/>
        </w:rPr>
        <w:t>202</w:t>
      </w:r>
      <w:r>
        <w:rPr>
          <w:rFonts w:hint="eastAsia" w:ascii="仿宋" w:hAnsi="仿宋" w:eastAsia="仿宋" w:cs="仿宋"/>
          <w:color w:val="FF0000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仿宋"/>
          <w:color w:val="FF0000"/>
          <w:sz w:val="28"/>
          <w:szCs w:val="28"/>
        </w:rPr>
        <w:t>年9月30日</w:t>
      </w:r>
      <w:r>
        <w:rPr>
          <w:rFonts w:hint="eastAsia" w:ascii="仿宋" w:hAnsi="仿宋" w:eastAsia="仿宋" w:cs="仿宋"/>
          <w:color w:val="333333"/>
          <w:sz w:val="28"/>
          <w:szCs w:val="28"/>
        </w:rPr>
        <w:t>为基准日，即</w:t>
      </w:r>
      <w:r>
        <w:rPr>
          <w:rFonts w:hint="eastAsia" w:ascii="仿宋" w:hAnsi="仿宋" w:eastAsia="仿宋" w:cs="仿宋"/>
          <w:color w:val="FF0000"/>
          <w:sz w:val="28"/>
          <w:szCs w:val="28"/>
        </w:rPr>
        <w:t>202</w:t>
      </w:r>
      <w:r>
        <w:rPr>
          <w:rFonts w:hint="eastAsia" w:ascii="仿宋" w:hAnsi="仿宋" w:eastAsia="仿宋" w:cs="仿宋"/>
          <w:color w:val="FF0000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仿宋"/>
          <w:color w:val="FF0000"/>
          <w:sz w:val="28"/>
          <w:szCs w:val="28"/>
        </w:rPr>
        <w:t>年10月1日及之后</w:t>
      </w:r>
      <w:r>
        <w:rPr>
          <w:rFonts w:hint="eastAsia" w:ascii="仿宋" w:hAnsi="仿宋" w:eastAsia="仿宋" w:cs="仿宋"/>
          <w:color w:val="333333"/>
          <w:sz w:val="28"/>
          <w:szCs w:val="28"/>
        </w:rPr>
        <w:t>资产的入账、报废、变动等信息不在本次清查范围内。</w:t>
      </w:r>
    </w:p>
    <w:p>
      <w:pPr>
        <w:pStyle w:val="3"/>
        <w:widowControl/>
        <w:spacing w:beforeAutospacing="0" w:afterAutospacing="0" w:line="360" w:lineRule="auto"/>
        <w:ind w:firstLine="645"/>
        <w:rPr>
          <w:rFonts w:hint="eastAsia" w:ascii="仿宋" w:hAnsi="仿宋" w:eastAsia="仿宋" w:cs="仿宋"/>
          <w:color w:val="333333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sz w:val="28"/>
          <w:szCs w:val="28"/>
        </w:rPr>
        <w:t>5. “</w:t>
      </w:r>
      <w:r>
        <w:rPr>
          <w:rFonts w:hint="eastAsia" w:ascii="仿宋" w:hAnsi="仿宋" w:eastAsia="仿宋" w:cs="仿宋"/>
          <w:color w:val="EE0000"/>
          <w:sz w:val="28"/>
          <w:szCs w:val="28"/>
        </w:rPr>
        <w:t>选择</w:t>
      </w:r>
      <w:r>
        <w:rPr>
          <w:rFonts w:hint="eastAsia" w:ascii="仿宋" w:hAnsi="仿宋" w:eastAsia="仿宋" w:cs="仿宋"/>
          <w:color w:val="333333"/>
          <w:sz w:val="28"/>
          <w:szCs w:val="28"/>
        </w:rPr>
        <w:t>”界面一次最多只能选择</w:t>
      </w:r>
      <w:r>
        <w:rPr>
          <w:rFonts w:hint="eastAsia" w:ascii="仿宋" w:hAnsi="仿宋" w:eastAsia="仿宋" w:cs="仿宋"/>
          <w:color w:val="EE0000"/>
          <w:sz w:val="28"/>
          <w:szCs w:val="28"/>
        </w:rPr>
        <w:t>500条</w:t>
      </w:r>
      <w:r>
        <w:rPr>
          <w:rFonts w:hint="eastAsia" w:ascii="仿宋" w:hAnsi="仿宋" w:eastAsia="仿宋" w:cs="仿宋"/>
          <w:color w:val="333333"/>
          <w:sz w:val="28"/>
          <w:szCs w:val="28"/>
        </w:rPr>
        <w:t>资产，即在选择界面右下角点击一下数量。若名下资产超过500条，需提交多次办事。</w:t>
      </w:r>
    </w:p>
    <w:p>
      <w:pPr>
        <w:pStyle w:val="3"/>
        <w:widowControl/>
        <w:spacing w:beforeAutospacing="0" w:afterAutospacing="0" w:line="360" w:lineRule="auto"/>
        <w:ind w:firstLine="645"/>
        <w:rPr>
          <w:rFonts w:hint="eastAsia" w:ascii="仿宋" w:hAnsi="仿宋" w:eastAsia="仿宋" w:cs="仿宋"/>
          <w:color w:val="333333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sz w:val="28"/>
          <w:szCs w:val="28"/>
        </w:rPr>
        <w:t>6．自查过程中如有疑问，可及时联系以下人员：</w:t>
      </w:r>
    </w:p>
    <w:p>
      <w:pPr>
        <w:pStyle w:val="3"/>
        <w:widowControl/>
        <w:spacing w:beforeAutospacing="0" w:afterAutospacing="0" w:line="360" w:lineRule="auto"/>
        <w:ind w:firstLine="645"/>
        <w:rPr>
          <w:rFonts w:hint="eastAsia" w:ascii="仿宋" w:hAnsi="仿宋" w:eastAsia="仿宋" w:cs="仿宋"/>
          <w:color w:val="333333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sz w:val="28"/>
          <w:szCs w:val="28"/>
        </w:rPr>
        <w:t>设备归口管理员：周 凯，</w:t>
      </w:r>
      <w:r>
        <w:rPr>
          <w:rFonts w:eastAsia="仿宋" w:cs="Calibri"/>
          <w:color w:val="333333"/>
          <w:sz w:val="28"/>
          <w:szCs w:val="28"/>
        </w:rPr>
        <w:t> </w:t>
      </w:r>
      <w:r>
        <w:rPr>
          <w:rFonts w:hint="eastAsia" w:ascii="仿宋" w:hAnsi="仿宋" w:eastAsia="仿宋" w:cs="仿宋"/>
          <w:color w:val="333333"/>
          <w:sz w:val="28"/>
          <w:szCs w:val="28"/>
        </w:rPr>
        <w:t>电话：86878668；</w:t>
      </w:r>
    </w:p>
    <w:p>
      <w:pPr>
        <w:pStyle w:val="3"/>
        <w:widowControl/>
        <w:spacing w:beforeAutospacing="0" w:afterAutospacing="0" w:line="360" w:lineRule="auto"/>
        <w:ind w:firstLine="645"/>
        <w:rPr>
          <w:rFonts w:hint="eastAsia" w:ascii="仿宋" w:hAnsi="仿宋" w:eastAsia="仿宋" w:cs="仿宋"/>
          <w:color w:val="333333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sz w:val="28"/>
          <w:szCs w:val="28"/>
        </w:rPr>
        <w:t>家具归口管理员：毕</w:t>
      </w:r>
      <w:r>
        <w:rPr>
          <w:rFonts w:eastAsia="仿宋" w:cs="Calibri"/>
          <w:color w:val="333333"/>
          <w:sz w:val="28"/>
          <w:szCs w:val="28"/>
        </w:rPr>
        <w:t> </w:t>
      </w:r>
      <w:r>
        <w:rPr>
          <w:rFonts w:ascii="仿宋" w:hAnsi="仿宋" w:eastAsia="仿宋" w:cs="仿宋"/>
          <w:color w:val="333333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color w:val="333333"/>
          <w:sz w:val="28"/>
          <w:szCs w:val="28"/>
        </w:rPr>
        <w:t>嘉，电话：86915039；</w:t>
      </w:r>
    </w:p>
    <w:p>
      <w:pPr>
        <w:pStyle w:val="3"/>
        <w:widowControl/>
        <w:spacing w:beforeAutospacing="0" w:afterAutospacing="0" w:line="360" w:lineRule="auto"/>
        <w:ind w:firstLine="645"/>
        <w:rPr>
          <w:rFonts w:hint="eastAsia" w:ascii="仿宋" w:hAnsi="仿宋" w:eastAsia="仿宋" w:cs="仿宋"/>
          <w:color w:val="333333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sz w:val="28"/>
          <w:szCs w:val="28"/>
        </w:rPr>
        <w:t>图书归口管理员：刘</w:t>
      </w:r>
      <w:r>
        <w:rPr>
          <w:rFonts w:eastAsia="仿宋" w:cs="Calibri"/>
          <w:color w:val="333333"/>
          <w:sz w:val="28"/>
          <w:szCs w:val="28"/>
        </w:rPr>
        <w:t> </w:t>
      </w:r>
      <w:r>
        <w:rPr>
          <w:rFonts w:hint="eastAsia" w:ascii="仿宋" w:hAnsi="仿宋" w:eastAsia="仿宋" w:cs="仿宋"/>
          <w:color w:val="333333"/>
          <w:sz w:val="28"/>
          <w:szCs w:val="28"/>
        </w:rPr>
        <w:t xml:space="preserve"> 亚，</w:t>
      </w:r>
      <w:r>
        <w:rPr>
          <w:rFonts w:eastAsia="仿宋" w:cs="Calibri"/>
          <w:color w:val="333333"/>
          <w:sz w:val="28"/>
          <w:szCs w:val="28"/>
        </w:rPr>
        <w:t> </w:t>
      </w:r>
      <w:r>
        <w:rPr>
          <w:rFonts w:hint="eastAsia" w:ascii="仿宋" w:hAnsi="仿宋" w:eastAsia="仿宋" w:cs="仿宋"/>
          <w:color w:val="333333"/>
          <w:sz w:val="28"/>
          <w:szCs w:val="28"/>
        </w:rPr>
        <w:t>电话：86878560；</w:t>
      </w:r>
      <w:r>
        <w:fldChar w:fldCharType="begin"/>
      </w:r>
      <w:r>
        <w:instrText xml:space="preserve"> HYPERLINK "https://i.hdu.edu.cn/tp_up/view?m=up" </w:instrText>
      </w:r>
      <w:r>
        <w:fldChar w:fldCharType="separate"/>
      </w:r>
      <w:r>
        <w:fldChar w:fldCharType="end"/>
      </w:r>
    </w:p>
    <w:p>
      <w:pPr>
        <w:pStyle w:val="3"/>
        <w:widowControl/>
        <w:spacing w:beforeAutospacing="0" w:afterAutospacing="0" w:line="360" w:lineRule="auto"/>
        <w:ind w:firstLine="645"/>
        <w:rPr>
          <w:rFonts w:hint="eastAsia" w:ascii="仿宋" w:hAnsi="仿宋" w:eastAsia="仿宋" w:cs="仿宋"/>
          <w:color w:val="333333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sz w:val="28"/>
          <w:szCs w:val="28"/>
        </w:rPr>
        <w:t xml:space="preserve">资产系统管理员：陈 </w:t>
      </w:r>
      <w:r>
        <w:rPr>
          <w:rFonts w:ascii="仿宋" w:hAnsi="仿宋" w:eastAsia="仿宋" w:cs="仿宋"/>
          <w:color w:val="333333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color w:val="333333"/>
          <w:sz w:val="28"/>
          <w:szCs w:val="28"/>
        </w:rPr>
        <w:t>静，</w:t>
      </w:r>
      <w:r>
        <w:rPr>
          <w:rFonts w:eastAsia="仿宋" w:cs="Calibri"/>
          <w:color w:val="333333"/>
          <w:sz w:val="28"/>
          <w:szCs w:val="28"/>
        </w:rPr>
        <w:t> </w:t>
      </w:r>
      <w:r>
        <w:rPr>
          <w:rFonts w:hint="eastAsia" w:ascii="仿宋" w:hAnsi="仿宋" w:eastAsia="仿宋" w:cs="仿宋"/>
          <w:color w:val="333333"/>
          <w:sz w:val="28"/>
          <w:szCs w:val="28"/>
        </w:rPr>
        <w:t>电话：87713574。</w:t>
      </w:r>
    </w:p>
    <w:p>
      <w:pPr>
        <w:rPr>
          <w:rFonts w:hint="eastAsia" w:ascii="仿宋" w:hAnsi="仿宋" w:eastAsia="仿宋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54D42"/>
    <w:multiLevelType w:val="multilevel"/>
    <w:tmpl w:val="09E54D42"/>
    <w:lvl w:ilvl="0" w:tentative="0">
      <w:start w:val="1"/>
      <w:numFmt w:val="decimalEnclosedCircle"/>
      <w:lvlText w:val="%1"/>
      <w:lvlJc w:val="left"/>
      <w:pPr>
        <w:ind w:left="128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760" w:hanging="420"/>
      </w:pPr>
    </w:lvl>
    <w:lvl w:ilvl="2" w:tentative="0">
      <w:start w:val="1"/>
      <w:numFmt w:val="lowerRoman"/>
      <w:lvlText w:val="%3."/>
      <w:lvlJc w:val="right"/>
      <w:pPr>
        <w:ind w:left="2180" w:hanging="420"/>
      </w:pPr>
    </w:lvl>
    <w:lvl w:ilvl="3" w:tentative="0">
      <w:start w:val="1"/>
      <w:numFmt w:val="decimal"/>
      <w:lvlText w:val="%4."/>
      <w:lvlJc w:val="left"/>
      <w:pPr>
        <w:ind w:left="2600" w:hanging="420"/>
      </w:pPr>
    </w:lvl>
    <w:lvl w:ilvl="4" w:tentative="0">
      <w:start w:val="1"/>
      <w:numFmt w:val="lowerLetter"/>
      <w:lvlText w:val="%5)"/>
      <w:lvlJc w:val="left"/>
      <w:pPr>
        <w:ind w:left="3020" w:hanging="420"/>
      </w:pPr>
    </w:lvl>
    <w:lvl w:ilvl="5" w:tentative="0">
      <w:start w:val="1"/>
      <w:numFmt w:val="lowerRoman"/>
      <w:lvlText w:val="%6."/>
      <w:lvlJc w:val="right"/>
      <w:pPr>
        <w:ind w:left="3440" w:hanging="420"/>
      </w:pPr>
    </w:lvl>
    <w:lvl w:ilvl="6" w:tentative="0">
      <w:start w:val="1"/>
      <w:numFmt w:val="decimal"/>
      <w:lvlText w:val="%7."/>
      <w:lvlJc w:val="left"/>
      <w:pPr>
        <w:ind w:left="3860" w:hanging="420"/>
      </w:pPr>
    </w:lvl>
    <w:lvl w:ilvl="7" w:tentative="0">
      <w:start w:val="1"/>
      <w:numFmt w:val="lowerLetter"/>
      <w:lvlText w:val="%8)"/>
      <w:lvlJc w:val="left"/>
      <w:pPr>
        <w:ind w:left="4280" w:hanging="420"/>
      </w:pPr>
    </w:lvl>
    <w:lvl w:ilvl="8" w:tentative="0">
      <w:start w:val="1"/>
      <w:numFmt w:val="lowerRoman"/>
      <w:lvlText w:val="%9."/>
      <w:lvlJc w:val="right"/>
      <w:pPr>
        <w:ind w:left="4700" w:hanging="420"/>
      </w:pPr>
    </w:lvl>
  </w:abstractNum>
  <w:abstractNum w:abstractNumId="1">
    <w:nsid w:val="49E51692"/>
    <w:multiLevelType w:val="multilevel"/>
    <w:tmpl w:val="49E51692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3C32E3"/>
    <w:rsid w:val="0AE30D6F"/>
    <w:rsid w:val="113D4B38"/>
    <w:rsid w:val="123D4508"/>
    <w:rsid w:val="14775ED9"/>
    <w:rsid w:val="170D4451"/>
    <w:rsid w:val="1BBD75D5"/>
    <w:rsid w:val="1DF21D40"/>
    <w:rsid w:val="1FC05159"/>
    <w:rsid w:val="2BD85157"/>
    <w:rsid w:val="2E7C6D05"/>
    <w:rsid w:val="36045A08"/>
    <w:rsid w:val="370D41E5"/>
    <w:rsid w:val="371B6DE3"/>
    <w:rsid w:val="3D123B38"/>
    <w:rsid w:val="3EED260F"/>
    <w:rsid w:val="519105C3"/>
    <w:rsid w:val="73A25915"/>
    <w:rsid w:val="74522CB2"/>
    <w:rsid w:val="79A323ED"/>
    <w:rsid w:val="7F665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35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unhideWhenUsed/>
    <w:qFormat/>
    <w:uiPriority w:val="35"/>
    <w:rPr>
      <w:rFonts w:ascii="等线 Light" w:hAnsi="等线 Light" w:eastAsia="黑体"/>
      <w:sz w:val="20"/>
      <w:szCs w:val="20"/>
    </w:r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character" w:styleId="6">
    <w:name w:val="Strong"/>
    <w:qFormat/>
    <w:uiPriority w:val="0"/>
    <w:rPr>
      <w:b/>
    </w:rPr>
  </w:style>
  <w:style w:type="character" w:styleId="7">
    <w:name w:val="Hyperlink"/>
    <w:qFormat/>
    <w:uiPriority w:val="0"/>
    <w:rPr>
      <w:color w:val="0563C1"/>
      <w:u w:val="single"/>
    </w:rPr>
  </w:style>
  <w:style w:type="paragraph" w:styleId="8">
    <w:name w:val="List Paragraph"/>
    <w:basedOn w:val="1"/>
    <w:qFormat/>
    <w:uiPriority w:val="34"/>
    <w:pPr>
      <w:ind w:firstLine="420" w:firstLineChars="200"/>
    </w:pPr>
    <w:rPr>
      <w:rFonts w:ascii="等线" w:hAnsi="等线" w:eastAsia="等线"/>
      <w:szCs w:val="22"/>
    </w:rPr>
  </w:style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media/image7.png" Type="http://schemas.openxmlformats.org/officeDocument/2006/relationships/image"/><Relationship Id="rId11" Target="media/image8.png" Type="http://schemas.openxmlformats.org/officeDocument/2006/relationships/image"/><Relationship Id="rId12" Target="media/image9.png" Type="http://schemas.openxmlformats.org/officeDocument/2006/relationships/image"/><Relationship Id="rId13" Target="media/image10.png" Type="http://schemas.openxmlformats.org/officeDocument/2006/relationships/image"/><Relationship Id="rId14" Target="media/image11.png" Type="http://schemas.openxmlformats.org/officeDocument/2006/relationships/image"/><Relationship Id="rId15" Target="media/image12.png" Type="http://schemas.openxmlformats.org/officeDocument/2006/relationships/image"/><Relationship Id="rId16" Target="media/image13.png" Type="http://schemas.openxmlformats.org/officeDocument/2006/relationships/image"/><Relationship Id="rId17" Target="media/image14.png" Type="http://schemas.openxmlformats.org/officeDocument/2006/relationships/image"/><Relationship Id="rId18" Target="media/image15.png" Type="http://schemas.openxmlformats.org/officeDocument/2006/relationships/image"/><Relationship Id="rId19" Target="../customXml/item1.xml" Type="http://schemas.openxmlformats.org/officeDocument/2006/relationships/customXml"/><Relationship Id="rId2" Target="settings.xml" Type="http://schemas.openxmlformats.org/officeDocument/2006/relationships/settings"/><Relationship Id="rId20" Target="numbering.xml" Type="http://schemas.openxmlformats.org/officeDocument/2006/relationships/numbering"/><Relationship Id="rId21" Target="fontTable.xml" Type="http://schemas.openxmlformats.org/officeDocument/2006/relationships/fontTable"/><Relationship Id="rId3" Target="theme/theme1.xml" Type="http://schemas.openxmlformats.org/officeDocument/2006/relationships/theme"/><Relationship Id="rId4" Target="media/image1.png" Type="http://schemas.openxmlformats.org/officeDocument/2006/relationships/image"/><Relationship Id="rId5" Target="media/image2.png" Type="http://schemas.openxmlformats.org/officeDocument/2006/relationships/image"/><Relationship Id="rId6" Target="media/image3.png" Type="http://schemas.openxmlformats.org/officeDocument/2006/relationships/image"/><Relationship Id="rId7" Target="media/image4.png" Type="http://schemas.openxmlformats.org/officeDocument/2006/relationships/image"/><Relationship Id="rId8" Target="media/image5.png" Type="http://schemas.openxmlformats.org/officeDocument/2006/relationships/image"/><Relationship Id="rId9" Target="media/image6.png" Type="http://schemas.openxmlformats.org/officeDocument/2006/relationships/image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1505</Words>
  <Characters>1615</Characters>
  <Lines>0</Lines>
  <Paragraphs>0</Paragraphs>
  <TotalTime>0</TotalTime>
  <ScaleCrop>false</ScaleCrop>
  <LinksUpToDate>false</LinksUpToDate>
  <CharactersWithSpaces>1638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2026-10-21T02:13:00Z</dcterms:created>
  <dc:creator>LWJ</dc:creator>
  <cp:lastModifiedBy>song</cp:lastModifiedBy>
  <dcterms:modified xsi:type="dcterms:W3CDTF">2026-10-29T00:39:37Z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2052-11.8.2.8506</vt:lpwstr>
  </property>
  <property fmtid="{D5CDD505-2E9C-101B-9397-08002B2CF9AE}" name="KSOTemplateDocerSaveRecord" pid="3">
    <vt:lpwstr>eyJoZGlkIjoiNzNhMmRlYjQyZGVhNDA3ZWI1Njc5ZGViM2Q0OGE3NDAiLCJ1c2VySWQiOiI1NjI0ODcwOTIifQ==</vt:lpwstr>
  </property>
  <property fmtid="{D5CDD505-2E9C-101B-9397-08002B2CF9AE}" name="ICV" pid="4">
    <vt:lpwstr>5457BCA0AF5144B2BBD99F2D82995A18_12</vt:lpwstr>
  </property>
  <!--ICCV_1Jsh2D7yIKvaNfbEF6tiXA==-->
  <property fmtid="{D5CDD505-2E9C-101B-9397-08002B2CF9AE}" name="ICVV" pid="5">
    <vt:lpwstr>MTYwMDk=</vt:lpwstr>
  </property>
</Properties>
</file>