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CD295">
      <w:pPr>
        <w:pStyle w:val="2"/>
      </w:pPr>
      <w:r>
        <w:t>经济学院 2025 年度本科生国家奖学金评审答辩评分表</w:t>
      </w:r>
    </w:p>
    <w:p w14:paraId="778D1A11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b/>
          <w:bCs/>
        </w:rPr>
        <w:t>答辩学生</w:t>
      </w:r>
      <w:r>
        <w:t xml:space="preserve">：__________  </w:t>
      </w:r>
      <w:r>
        <w:rPr>
          <w:rFonts w:hint="eastAsia"/>
          <w:lang w:val="en-US" w:eastAsia="zh-CN"/>
        </w:rPr>
        <w:t xml:space="preserve">       </w:t>
      </w:r>
      <w:r>
        <w:t xml:space="preserve">专业：__________  </w:t>
      </w:r>
      <w:r>
        <w:rPr>
          <w:rFonts w:hint="eastAsia"/>
          <w:lang w:val="en-US" w:eastAsia="zh-CN"/>
        </w:rPr>
        <w:t xml:space="preserve">    </w:t>
      </w:r>
      <w:r>
        <w:t xml:space="preserve">学号：__________  </w:t>
      </w:r>
    </w:p>
    <w:p w14:paraId="332A6E96">
      <w:pPr>
        <w:pStyle w:val="1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42"/>
        <w:gridCol w:w="4141"/>
        <w:gridCol w:w="1050"/>
        <w:gridCol w:w="1733"/>
      </w:tblGrid>
      <w:tr w14:paraId="36A38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05B50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评分维度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470A42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具体指标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1BFB62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分值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2635E4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实得分</w:t>
            </w:r>
          </w:p>
        </w:tc>
      </w:tr>
      <w:tr w14:paraId="2BEC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D9D7A4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rPr>
                <w:b/>
                <w:bCs/>
              </w:rPr>
              <w:t>一、学业成绩与综合测评（35 分）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966B1C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1. 常规申请学生评分（35 分）（适用于成绩与综测均居专业前 10%，含 GPA、奖学金等综合考量）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73B3B2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35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4523F4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3524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BA4ECC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9F2D7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2. 特殊申请学生专项评分（35 分）（适用于成绩 11%-30%，含无不及格课程 + 突出表现证明）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728BAB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35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28EF63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3E70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25DD2D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rPr>
                <w:b/>
                <w:bCs/>
              </w:rPr>
              <w:t>二、思想品德与综合素质（20 分）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765845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1. 政治素养与道德品行（10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EF6F8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4C3402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66CEE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6E4C0E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A1EDF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2. 社会责任与集体贡献（10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097E0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2205F8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0C7ED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F5598B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rPr>
                <w:b/>
                <w:bCs/>
              </w:rPr>
              <w:t>三、科研创新与学术能力（25 分）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DB4B27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1. 科研项目参与（10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7F011D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C923A5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9D09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2FDDF2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FEE534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2. 学术成果与竞赛表现（15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95D08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15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067FDB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CB59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5E2D6B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rPr>
                <w:b/>
                <w:bCs/>
              </w:rPr>
              <w:t>四、答辩表现与表达能力（20 分）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C3BBB7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1. 陈述逻辑性与内容完整性（10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F52F20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75E857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E4D1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F18DE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6658E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2. 问答应变与表达流畅度（10 分）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B861B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5993D7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  <w:tr w14:paraId="5B48C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34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C20690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rPr>
                <w:b/>
                <w:bCs/>
              </w:rPr>
              <w:t>总分（100 分）</w:t>
            </w:r>
          </w:p>
        </w:tc>
        <w:tc>
          <w:tcPr>
            <w:tcW w:w="41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CECC8B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——</w:t>
            </w:r>
          </w:p>
        </w:tc>
        <w:tc>
          <w:tcPr>
            <w:tcW w:w="10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B7137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center"/>
              <w:textAlignment w:val="auto"/>
            </w:pPr>
            <w:r>
              <w:t>100</w:t>
            </w:r>
          </w:p>
        </w:tc>
        <w:tc>
          <w:tcPr>
            <w:tcW w:w="173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4B670D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</w:pPr>
          </w:p>
        </w:tc>
      </w:tr>
    </w:tbl>
    <w:p w14:paraId="1C830EE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t>核心评分依据</w:t>
      </w:r>
    </w:p>
    <w:p w14:paraId="40828FF4">
      <w:pPr>
        <w:pStyle w:val="1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b/>
          <w:bCs/>
        </w:rPr>
        <w:t>学业成绩与综合测评</w:t>
      </w:r>
      <w:r>
        <w:t>：常规生综合考量综测排名、GPA、奖学金获取情况；特殊生需满足无不及格课程，重点核查突出表现证明材料（道德风尚、竞赛、科研等）。</w:t>
      </w:r>
    </w:p>
    <w:p w14:paraId="0E4ED27F">
      <w:pPr>
        <w:pStyle w:val="1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b/>
          <w:bCs/>
        </w:rPr>
        <w:t>思想品德与综合素质</w:t>
      </w:r>
      <w:r>
        <w:t>：无违纪为基础，德育荣誉、志愿时长、集体贡献为加分项。</w:t>
      </w:r>
    </w:p>
    <w:p w14:paraId="15209202">
      <w:pPr>
        <w:pStyle w:val="1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b/>
          <w:bCs/>
        </w:rPr>
        <w:t>科研创新与学术能力</w:t>
      </w:r>
      <w:r>
        <w:t>：按项目级别、成果层次、竞赛奖项等级评分。</w:t>
      </w:r>
    </w:p>
    <w:p w14:paraId="5B72AC9B">
      <w:pPr>
        <w:pStyle w:val="1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b/>
          <w:bCs/>
        </w:rPr>
        <w:t>答辩表现与表达能力</w:t>
      </w:r>
      <w:r>
        <w:t>：侧重陈述逻辑、内容匹配度及问答准确性。</w:t>
      </w:r>
    </w:p>
    <w:p w14:paraId="48B8967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t>评分说明</w:t>
      </w:r>
    </w:p>
    <w:p w14:paraId="587D6E4C">
      <w:pPr>
        <w:pStyle w:val="1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t>需先核查学生基础资格，不符合者直接淘汰。</w:t>
      </w:r>
    </w:p>
    <w:p w14:paraId="499140C4">
      <w:pPr>
        <w:pStyle w:val="1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t>分数填写整数，常规 / 特殊申请项仅选一项计分，不可重复。</w:t>
      </w:r>
    </w:p>
    <w:p w14:paraId="18924A0C">
      <w:pPr>
        <w:pStyle w:val="1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t>材料造假全项 0 分，最终成绩</w:t>
      </w:r>
      <w:r>
        <w:rPr>
          <w:rFonts w:hint="eastAsia"/>
          <w:lang w:val="en-US" w:eastAsia="zh-CN"/>
        </w:rPr>
        <w:t>为0</w:t>
      </w:r>
      <w:r>
        <w:t>。</w:t>
      </w:r>
    </w:p>
    <w:p w14:paraId="361BFBA9">
      <w:pPr>
        <w:pStyle w:val="1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eastAsia"/>
        </w:rPr>
        <w:t>评审委员会由教师评委与学生评委组成，最终答辩成绩计算方式为：最终成绩 = 教师评委平均分 ×60% + 学生评委平均分 ×40%（教师评委、学生评委均先分别去除组内 1 个最高分和 1 个最低分后计算平均分）。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D4C3E72"/>
    <w:rsid w:val="1AED4AA9"/>
    <w:rsid w:val="33F81646"/>
    <w:rsid w:val="3B76761C"/>
    <w:rsid w:val="44C572B3"/>
    <w:rsid w:val="5080549C"/>
    <w:rsid w:val="589324AE"/>
    <w:rsid w:val="6BA54C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unhideWhenUsed/>
    <w:qFormat/>
    <w:uiPriority w:val="99"/>
    <w:rPr>
      <w:color w:val="0563C1"/>
      <w:u w:val="single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paragraph" w:styleId="15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16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8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618</Words>
  <Characters>697</Characters>
  <TotalTime>24</TotalTime>
  <ScaleCrop>false</ScaleCrop>
  <LinksUpToDate>false</LinksUpToDate>
  <CharactersWithSpaces>756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2025-09-24T02:56:00Z</dcterms:created>
  <dc:creator>Un-named</dc:creator>
  <cp:lastModifiedBy>李志年</cp:lastModifiedBy>
  <cp:lastPrinted>2025-09-24T03:01:00Z</cp:lastPrinted>
  <dcterms:modified xsi:type="dcterms:W3CDTF">2025-09-24T04:54:46Z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eyJoZGlkIjoiNTdkOWE3YzdhZjgwNDYwNTZkOGQ0NTFlNmE4ZGMyZTEiLCJ1c2VySWQiOiIxNjc0MTIyOTMzIn0=</vt:lpwstr>
  </property>
  <property fmtid="{D5CDD505-2E9C-101B-9397-08002B2CF9AE}" pid="3" name="KSOProductBuildVer">
    <vt:lpwstr>2052-12.1.0.19770</vt:lpwstr>
  </property>
  <property fmtid="{D5CDD505-2E9C-101B-9397-08002B2CF9AE}" pid="4" name="ICV">
    <vt:lpwstr>0B595FBA07BD4FE189A99ADB68250B4A_13</vt:lpwstr>
  </property>
</Properties>
</file>